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94971" w14:textId="77777777" w:rsidR="00DC2FA6" w:rsidRDefault="00DC2FA6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41362CB" w14:textId="77777777" w:rsidR="00DC2FA6" w:rsidRDefault="00DC2FA6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3E74B32" w14:textId="43F82A0A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912939" wp14:editId="79CF8BE7">
            <wp:simplePos x="0" y="0"/>
            <wp:positionH relativeFrom="column">
              <wp:posOffset>2504440</wp:posOffset>
            </wp:positionH>
            <wp:positionV relativeFrom="paragraph">
              <wp:posOffset>168275</wp:posOffset>
            </wp:positionV>
            <wp:extent cx="752475" cy="908685"/>
            <wp:effectExtent l="0" t="0" r="9525" b="5715"/>
            <wp:wrapTopAndBottom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D5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B30FD9">
        <w:rPr>
          <w:b/>
          <w:bCs/>
          <w:color w:val="000000" w:themeColor="text1"/>
          <w:sz w:val="28"/>
          <w:szCs w:val="28"/>
        </w:rPr>
        <w:t xml:space="preserve">                         </w:t>
      </w:r>
    </w:p>
    <w:p w14:paraId="6B3C8EAF" w14:textId="77777777" w:rsidR="00DC2FA6" w:rsidRDefault="00DC2FA6" w:rsidP="00DC2FA6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14:paraId="0D3AC165" w14:textId="77777777" w:rsidR="00DC2FA6" w:rsidRDefault="00DC2FA6" w:rsidP="00DC2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2219EFDF" w14:textId="77777777" w:rsidR="00DC2FA6" w:rsidRDefault="00DC2FA6" w:rsidP="00DC2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58140FFB" w14:textId="77777777" w:rsidR="00DC2FA6" w:rsidRDefault="00DC2FA6" w:rsidP="00DC2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14B60573" w14:textId="77777777" w:rsidR="00DC2FA6" w:rsidRDefault="00DC2FA6" w:rsidP="00DC2FA6">
      <w:pPr>
        <w:jc w:val="center"/>
        <w:rPr>
          <w:b/>
          <w:sz w:val="28"/>
          <w:szCs w:val="28"/>
        </w:rPr>
      </w:pPr>
    </w:p>
    <w:p w14:paraId="25FBCA85" w14:textId="77777777" w:rsidR="00DC2FA6" w:rsidRDefault="00DC2FA6" w:rsidP="00DC2FA6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14:paraId="47951D91" w14:textId="32716B10" w:rsidR="00DC2FA6" w:rsidRDefault="00B30FD9" w:rsidP="00DC2FA6">
      <w:pPr>
        <w:pStyle w:val="af2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«22</w:t>
      </w:r>
      <w:r w:rsidR="00DC2FA6">
        <w:rPr>
          <w:b w:val="0"/>
          <w:i w:val="0"/>
          <w:szCs w:val="28"/>
        </w:rPr>
        <w:t xml:space="preserve">»   декабря </w:t>
      </w:r>
      <w:r>
        <w:rPr>
          <w:b w:val="0"/>
          <w:i w:val="0"/>
          <w:szCs w:val="28"/>
        </w:rPr>
        <w:t>2021 года   № 507</w:t>
      </w:r>
    </w:p>
    <w:p w14:paraId="3E9C27EE" w14:textId="77777777" w:rsidR="00DC2FA6" w:rsidRDefault="00DC2FA6" w:rsidP="00DC2FA6">
      <w:pPr>
        <w:rPr>
          <w:b/>
          <w:bCs/>
          <w:sz w:val="28"/>
          <w:szCs w:val="28"/>
        </w:rPr>
      </w:pPr>
    </w:p>
    <w:p w14:paraId="07B4B0A7" w14:textId="0B6E59FB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>контроля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 поселении Красный Яр муниципального района Красноярский Самарской области</w:t>
      </w:r>
    </w:p>
    <w:p w14:paraId="39E9AC51" w14:textId="77777777" w:rsidR="00DC2FA6" w:rsidRDefault="00DC2FA6" w:rsidP="00DC2FA6">
      <w:pPr>
        <w:jc w:val="center"/>
        <w:rPr>
          <w:sz w:val="28"/>
          <w:szCs w:val="28"/>
        </w:rPr>
      </w:pPr>
    </w:p>
    <w:p w14:paraId="54847B5D" w14:textId="3E5C3BF3" w:rsidR="00DC2FA6" w:rsidRDefault="00DC2FA6" w:rsidP="00DC2F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5A91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225A91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225A91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1C2B59">
        <w:rPr>
          <w:color w:val="000000" w:themeColor="text1"/>
          <w:sz w:val="28"/>
          <w:szCs w:val="28"/>
          <w:shd w:val="clear" w:color="auto" w:fill="FFFFFF"/>
        </w:rPr>
        <w:t>,</w:t>
      </w:r>
      <w:r w:rsidR="00225A9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C2B59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постановление </w:t>
      </w:r>
      <w:r w:rsidR="00225A9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color w:val="000000" w:themeColor="text1"/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области, ПОСТАНОВЛЯЕТ:</w:t>
      </w:r>
    </w:p>
    <w:p w14:paraId="797D73C0" w14:textId="5C68505C" w:rsidR="00DC2FA6" w:rsidRDefault="00DC2FA6" w:rsidP="00DC2F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 w:rsidRPr="00624192">
        <w:rPr>
          <w:color w:val="000000" w:themeColor="text1"/>
          <w:sz w:val="28"/>
          <w:szCs w:val="28"/>
        </w:rPr>
        <w:t xml:space="preserve">Утвердить </w:t>
      </w:r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r w:rsidRPr="0040147C">
        <w:rPr>
          <w:color w:val="000000" w:themeColor="text1"/>
          <w:sz w:val="28"/>
          <w:szCs w:val="28"/>
        </w:rPr>
        <w:t xml:space="preserve">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40147C">
        <w:rPr>
          <w:color w:val="000000" w:themeColor="text1"/>
          <w:sz w:val="28"/>
          <w:szCs w:val="28"/>
        </w:rPr>
        <w:t>контроля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 </w:t>
      </w:r>
      <w:r>
        <w:rPr>
          <w:color w:val="000000" w:themeColor="text1"/>
          <w:sz w:val="28"/>
          <w:szCs w:val="28"/>
        </w:rPr>
        <w:t>сельском  поселения Красный Яр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приложению.</w:t>
      </w:r>
      <w:proofErr w:type="gramEnd"/>
    </w:p>
    <w:p w14:paraId="5CCE8C34" w14:textId="77777777" w:rsidR="00DC2FA6" w:rsidRDefault="00DC2FA6" w:rsidP="00DC2FA6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9" w:history="1">
        <w:r>
          <w:rPr>
            <w:rStyle w:val="a3"/>
            <w:rFonts w:eastAsiaTheme="majorEastAsia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14:paraId="7AE57FAD" w14:textId="77777777" w:rsidR="00DC2FA6" w:rsidRDefault="00DC2FA6" w:rsidP="00DC2FA6">
      <w:pPr>
        <w:pStyle w:val="2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5160196A" w14:textId="77777777" w:rsidR="00DC2FA6" w:rsidRDefault="00DC2FA6" w:rsidP="00DC2FA6">
      <w:pPr>
        <w:ind w:left="709"/>
        <w:rPr>
          <w:b/>
          <w:sz w:val="28"/>
          <w:szCs w:val="28"/>
        </w:rPr>
      </w:pPr>
    </w:p>
    <w:p w14:paraId="6EBBE43A" w14:textId="77777777" w:rsidR="00DC2FA6" w:rsidRDefault="00DC2FA6" w:rsidP="00DC2FA6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392F746A" w14:textId="77777777" w:rsidR="00DC2FA6" w:rsidRDefault="00DC2FA6" w:rsidP="00DC2FA6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6C91DD59" w14:textId="77777777" w:rsidR="00DC2FA6" w:rsidRDefault="00DC2FA6" w:rsidP="00DC2FA6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32E58D2E" w14:textId="77777777" w:rsidR="00DC2FA6" w:rsidRDefault="00DC2FA6" w:rsidP="00DC2FA6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Самарской области                                                             А.Г. Бушов</w:t>
      </w:r>
    </w:p>
    <w:p w14:paraId="2B65DC47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DC05CF7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7BB7361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D462F9F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89DC95F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842F67C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BF6DCFF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888F67C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964B058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6CDC368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ECE69C3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FBC36C7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28E616F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B3CC3CE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5307F91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9AAD53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8F82636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2DED662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9D35599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B87D348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4C13F01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49AFF00" w14:textId="77777777" w:rsidR="00DC2FA6" w:rsidRDefault="00DC2FA6" w:rsidP="00DC2F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9358396" w14:textId="77777777" w:rsidR="00DC2FA6" w:rsidRDefault="00DC2FA6" w:rsidP="00DC2FA6">
      <w:pPr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0505CA24" w14:textId="77777777" w:rsidR="00DC2FA6" w:rsidRDefault="00DC2FA6" w:rsidP="00DC2FA6">
      <w:pPr>
        <w:rPr>
          <w:color w:val="000000" w:themeColor="text1"/>
        </w:rPr>
      </w:pPr>
    </w:p>
    <w:p w14:paraId="4A2886D8" w14:textId="77777777" w:rsidR="00DC2FA6" w:rsidRDefault="00DC2FA6" w:rsidP="00DC2F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FC9D60D" w14:textId="77777777" w:rsidR="00DC2FA6" w:rsidRDefault="00DC2FA6" w:rsidP="00DC2F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D25726F" w14:textId="77777777" w:rsidR="00DC2FA6" w:rsidRDefault="00DC2FA6" w:rsidP="00DC2F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0A3F1A1" w14:textId="77777777" w:rsidR="00DC2FA6" w:rsidRDefault="00DC2FA6" w:rsidP="00DC2F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058C3BE" w14:textId="77777777" w:rsidR="00DC2FA6" w:rsidRDefault="00DC2FA6" w:rsidP="00405638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14:paraId="085A182F" w14:textId="77777777" w:rsidR="00DC2FA6" w:rsidRDefault="00DC2FA6" w:rsidP="00DC2F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35E737B" w14:textId="77777777" w:rsidR="00DC2FA6" w:rsidRDefault="00DC2FA6" w:rsidP="00DC2F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980F632" w14:textId="77777777" w:rsidR="00DC2FA6" w:rsidRDefault="00DC2FA6" w:rsidP="00DC2F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4371C510" w14:textId="77777777" w:rsidR="00DC2FA6" w:rsidRDefault="00DC2FA6" w:rsidP="00DC2FA6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администрации сельского поселения Красный Яр</w:t>
      </w:r>
    </w:p>
    <w:p w14:paraId="7EA1DC0A" w14:textId="3A57E873" w:rsidR="00DC2FA6" w:rsidRDefault="00B30FD9" w:rsidP="00DC2F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22.12 2021 № 507</w:t>
      </w:r>
    </w:p>
    <w:p w14:paraId="26C1F192" w14:textId="77777777" w:rsidR="00DC2FA6" w:rsidRDefault="00DC2FA6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95D3033" w14:textId="77777777" w:rsidR="00DC2FA6" w:rsidRDefault="00DC2FA6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5046B8" w14:textId="2BEF405B" w:rsidR="00141D8D" w:rsidRDefault="00DC2FA6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141D8D">
        <w:rPr>
          <w:color w:val="000000" w:themeColor="text1"/>
          <w:sz w:val="28"/>
          <w:szCs w:val="28"/>
        </w:rPr>
        <w:t>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3EB50A40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DC2FA6">
        <w:rPr>
          <w:b/>
          <w:bCs/>
          <w:color w:val="000000"/>
          <w:sz w:val="28"/>
          <w:szCs w:val="28"/>
        </w:rPr>
        <w:t xml:space="preserve">сельском поселении Красный Яр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4ADA232F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DC2FA6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16" w:type="dxa"/>
        <w:tblInd w:w="-714" w:type="dxa"/>
        <w:tblLook w:val="04A0" w:firstRow="1" w:lastRow="0" w:firstColumn="1" w:lastColumn="0" w:noHBand="0" w:noVBand="1"/>
      </w:tblPr>
      <w:tblGrid>
        <w:gridCol w:w="756"/>
        <w:gridCol w:w="2760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40563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760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40563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760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405638">
        <w:tc>
          <w:tcPr>
            <w:tcW w:w="10516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40563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760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40563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760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40563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760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 xml:space="preserve">ли в иных информационных </w:t>
            </w:r>
            <w:r w:rsidRPr="00EB78CB">
              <w:lastRenderedPageBreak/>
              <w:t>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lastRenderedPageBreak/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40563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lastRenderedPageBreak/>
              <w:t>4</w:t>
            </w:r>
          </w:p>
        </w:tc>
        <w:tc>
          <w:tcPr>
            <w:tcW w:w="2760" w:type="dxa"/>
          </w:tcPr>
          <w:p w14:paraId="6C67468D" w14:textId="3BC565B6" w:rsidR="007C010C" w:rsidRPr="00D91989" w:rsidRDefault="007C010C" w:rsidP="0098493E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40563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760" w:type="dxa"/>
          </w:tcPr>
          <w:p w14:paraId="06CD19A2" w14:textId="6BDC1B51" w:rsidR="007C010C" w:rsidRPr="00D91989" w:rsidRDefault="007C010C" w:rsidP="0098493E">
            <w:pPr>
              <w:jc w:val="both"/>
            </w:pPr>
            <w:proofErr w:type="gramStart"/>
            <w:r w:rsidRPr="00187FE3">
              <w:t xml:space="preserve">В случае установления нарушения порядка расчета платы за содержание жилого </w:t>
            </w:r>
            <w:r w:rsidRPr="00187FE3">
              <w:lastRenderedPageBreak/>
              <w:t>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405638">
        <w:tc>
          <w:tcPr>
            <w:tcW w:w="10516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40563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760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</w:t>
            </w:r>
            <w:r>
              <w:lastRenderedPageBreak/>
              <w:t>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40563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lastRenderedPageBreak/>
              <w:t>7</w:t>
            </w:r>
          </w:p>
        </w:tc>
        <w:tc>
          <w:tcPr>
            <w:tcW w:w="2760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40563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760" w:type="dxa"/>
          </w:tcPr>
          <w:p w14:paraId="62C748BE" w14:textId="3D4D4C85"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40563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760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40563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760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</w:t>
            </w:r>
            <w:r w:rsidRPr="00117543">
              <w:lastRenderedPageBreak/>
              <w:t>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lastRenderedPageBreak/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40563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1</w:t>
            </w:r>
          </w:p>
        </w:tc>
        <w:tc>
          <w:tcPr>
            <w:tcW w:w="2760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</w:t>
            </w:r>
            <w:proofErr w:type="spellStart"/>
            <w:r>
              <w:t>наймодателем</w:t>
            </w:r>
            <w:proofErr w:type="spellEnd"/>
            <w:r>
              <w:t xml:space="preserve">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40563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760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40563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760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405638">
        <w:tc>
          <w:tcPr>
            <w:tcW w:w="10516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proofErr w:type="gramStart"/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14:paraId="319F7840" w14:textId="77777777" w:rsidTr="0040563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760" w:type="dxa"/>
          </w:tcPr>
          <w:p w14:paraId="7BB40D91" w14:textId="48ED0310"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40563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760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 xml:space="preserve">Имеется акт приемочной комиссии, подтверждающий завершение переустройства и (или) </w:t>
            </w:r>
            <w:r w:rsidRPr="006E41CF">
              <w:lastRenderedPageBreak/>
              <w:t>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lastRenderedPageBreak/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40563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6</w:t>
            </w:r>
          </w:p>
        </w:tc>
        <w:tc>
          <w:tcPr>
            <w:tcW w:w="2760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405638">
        <w:tc>
          <w:tcPr>
            <w:tcW w:w="10516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40563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760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40563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760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40563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760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40563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lastRenderedPageBreak/>
              <w:t>18</w:t>
            </w:r>
            <w:r w:rsidR="00C91A0D">
              <w:t>.2</w:t>
            </w:r>
          </w:p>
        </w:tc>
        <w:tc>
          <w:tcPr>
            <w:tcW w:w="2760" w:type="dxa"/>
          </w:tcPr>
          <w:p w14:paraId="495CCFE2" w14:textId="36F56650"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40563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760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40563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760" w:type="dxa"/>
          </w:tcPr>
          <w:p w14:paraId="7C56E558" w14:textId="1130755E" w:rsidR="00D84AD5" w:rsidRDefault="00D84AD5" w:rsidP="00D84AD5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 xml:space="preserve">оборудования, в том числе оборудования для инвалидов и иных маломобильных групп населения, обслуживающего более </w:t>
            </w:r>
            <w:r w:rsidRPr="00D84AD5">
              <w:lastRenderedPageBreak/>
              <w:t>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40563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2760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40563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760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</w:t>
            </w:r>
            <w:r>
              <w:lastRenderedPageBreak/>
              <w:t xml:space="preserve">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40563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2760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40563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760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40563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760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40563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760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40563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760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40563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760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40563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760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40563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760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40563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760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40563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760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</w:t>
            </w:r>
            <w:r w:rsidR="00642713">
              <w:lastRenderedPageBreak/>
              <w:t>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r>
              <w:t>отмостков,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40563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760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40563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760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40563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760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40563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760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40563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760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40563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760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</w:t>
            </w:r>
            <w:r w:rsidR="00642713" w:rsidRPr="00642713">
              <w:lastRenderedPageBreak/>
              <w:t>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40563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760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40563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760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40563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760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40563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760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40563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760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40563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760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40563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760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 xml:space="preserve">на реконструкцию, </w:t>
            </w:r>
            <w:r w:rsidRPr="00094E66">
              <w:lastRenderedPageBreak/>
              <w:t>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40563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4</w:t>
            </w:r>
          </w:p>
        </w:tc>
        <w:tc>
          <w:tcPr>
            <w:tcW w:w="2760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40563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760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40563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760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40563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760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40563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760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40563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760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40563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760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40563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760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40563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760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405638">
        <w:tc>
          <w:tcPr>
            <w:tcW w:w="10516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40563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760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</w:t>
            </w:r>
            <w:r>
              <w:lastRenderedPageBreak/>
              <w:t>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lastRenderedPageBreak/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405638">
        <w:tc>
          <w:tcPr>
            <w:tcW w:w="10516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40563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760" w:type="dxa"/>
          </w:tcPr>
          <w:p w14:paraId="55450C70" w14:textId="690D1376"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</w:t>
            </w:r>
            <w:bookmarkStart w:id="0" w:name="_GoBack"/>
            <w:bookmarkEnd w:id="0"/>
            <w:r w:rsidRPr="003867AD">
              <w:t>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40563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760" w:type="dxa"/>
          </w:tcPr>
          <w:p w14:paraId="6B31E4D2" w14:textId="00BE7BFF" w:rsidR="00092768" w:rsidRPr="00D91989" w:rsidRDefault="001A4C85" w:rsidP="00B72A78">
            <w:pPr>
              <w:jc w:val="both"/>
            </w:pPr>
            <w:proofErr w:type="gramStart"/>
            <w:r w:rsidRPr="001A4C85">
              <w:t xml:space="preserve">Лицо, ответственное за содержание многоквартирного дома, регулярно (не реже чем один раз в год) </w:t>
            </w:r>
            <w:r w:rsidRPr="001A4C85">
              <w:lastRenderedPageBreak/>
              <w:t>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14:paraId="0EDC7CF3" w14:textId="77777777" w:rsidR="004B01CA" w:rsidRDefault="004B01CA"/>
    <w:sectPr w:rsidR="004B01CA" w:rsidSect="00405638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39A10" w14:textId="77777777" w:rsidR="001D35C2" w:rsidRDefault="001D35C2" w:rsidP="00624192">
      <w:r>
        <w:separator/>
      </w:r>
    </w:p>
  </w:endnote>
  <w:endnote w:type="continuationSeparator" w:id="0">
    <w:p w14:paraId="4640B2FA" w14:textId="77777777" w:rsidR="001D35C2" w:rsidRDefault="001D35C2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0137C" w14:textId="77777777" w:rsidR="001D35C2" w:rsidRDefault="001D35C2" w:rsidP="00624192">
      <w:r>
        <w:separator/>
      </w:r>
    </w:p>
  </w:footnote>
  <w:footnote w:type="continuationSeparator" w:id="0">
    <w:p w14:paraId="2F85A467" w14:textId="77777777" w:rsidR="001D35C2" w:rsidRDefault="001D35C2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638">
          <w:rPr>
            <w:noProof/>
          </w:rPr>
          <w:t>4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C2B59"/>
    <w:rsid w:val="001D35C2"/>
    <w:rsid w:val="001E5B33"/>
    <w:rsid w:val="001F1744"/>
    <w:rsid w:val="002048AD"/>
    <w:rsid w:val="00204A83"/>
    <w:rsid w:val="0021566F"/>
    <w:rsid w:val="002176DC"/>
    <w:rsid w:val="00225A91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5638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A74F0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0B6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0FD9"/>
    <w:rsid w:val="00B3179B"/>
    <w:rsid w:val="00B42F2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2FA6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14C1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753D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F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character" w:customStyle="1" w:styleId="90">
    <w:name w:val="Заголовок 9 Знак"/>
    <w:basedOn w:val="a0"/>
    <w:link w:val="9"/>
    <w:uiPriority w:val="9"/>
    <w:semiHidden/>
    <w:rsid w:val="00DC2F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2F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дресат (кому)"/>
    <w:basedOn w:val="a"/>
    <w:rsid w:val="00DC2FA6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F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character" w:customStyle="1" w:styleId="90">
    <w:name w:val="Заголовок 9 Знак"/>
    <w:basedOn w:val="a0"/>
    <w:link w:val="9"/>
    <w:uiPriority w:val="9"/>
    <w:semiHidden/>
    <w:rsid w:val="00DC2F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2F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дресат (кому)"/>
    <w:basedOn w:val="a"/>
    <w:rsid w:val="00DC2FA6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5ABC-A2E3-4ABD-897A-57D2F74B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19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ACCORD</cp:lastModifiedBy>
  <cp:revision>14</cp:revision>
  <cp:lastPrinted>2021-11-11T07:19:00Z</cp:lastPrinted>
  <dcterms:created xsi:type="dcterms:W3CDTF">2021-11-29T08:34:00Z</dcterms:created>
  <dcterms:modified xsi:type="dcterms:W3CDTF">2021-12-22T11:55:00Z</dcterms:modified>
</cp:coreProperties>
</file>